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80" w:rsidRPr="00EE3154" w:rsidRDefault="00EF5180" w:rsidP="00EF5180">
      <w:pPr>
        <w:spacing w:line="300" w:lineRule="exact"/>
        <w:ind w:left="641" w:hangingChars="200" w:hanging="641"/>
        <w:jc w:val="center"/>
        <w:rPr>
          <w:rFonts w:ascii="標楷體" w:eastAsia="標楷體" w:hAnsi="標楷體" w:hint="eastAsia"/>
          <w:b/>
          <w:sz w:val="32"/>
        </w:rPr>
      </w:pPr>
      <w:r w:rsidRPr="00EE3154">
        <w:rPr>
          <w:rFonts w:ascii="標楷體" w:eastAsia="標楷體" w:hAnsi="標楷體" w:hint="eastAsia"/>
          <w:b/>
          <w:sz w:val="32"/>
        </w:rPr>
        <w:t>大陸地區人民來</w:t>
      </w:r>
      <w:proofErr w:type="gramStart"/>
      <w:r w:rsidRPr="00EE3154">
        <w:rPr>
          <w:rFonts w:ascii="標楷體" w:eastAsia="標楷體" w:hAnsi="標楷體" w:hint="eastAsia"/>
          <w:b/>
          <w:sz w:val="32"/>
        </w:rPr>
        <w:t>臺</w:t>
      </w:r>
      <w:proofErr w:type="gramEnd"/>
      <w:r w:rsidRPr="00EE3154">
        <w:rPr>
          <w:rFonts w:ascii="標楷體" w:eastAsia="標楷體" w:hAnsi="標楷體" w:hint="eastAsia"/>
          <w:b/>
          <w:sz w:val="32"/>
        </w:rPr>
        <w:t>人數統計編製說明</w:t>
      </w:r>
    </w:p>
    <w:p w:rsidR="00EF5180" w:rsidRPr="00EE3154" w:rsidRDefault="00EF5180" w:rsidP="00EF5180">
      <w:pPr>
        <w:spacing w:line="300" w:lineRule="exact"/>
        <w:jc w:val="both"/>
        <w:rPr>
          <w:rFonts w:ascii="標楷體" w:eastAsia="標楷體" w:hAnsi="標楷體" w:hint="eastAsia"/>
          <w:b/>
          <w:sz w:val="32"/>
        </w:rPr>
      </w:pPr>
    </w:p>
    <w:p w:rsidR="00EF5180" w:rsidRPr="00EE3154" w:rsidRDefault="00EF5180" w:rsidP="00EF5180">
      <w:pPr>
        <w:spacing w:line="300" w:lineRule="exact"/>
        <w:ind w:leftChars="-58" w:left="175" w:hangingChars="131" w:hanging="314"/>
        <w:jc w:val="both"/>
        <w:rPr>
          <w:rFonts w:ascii="標楷體" w:eastAsia="標楷體" w:hAnsi="標楷體"/>
        </w:rPr>
      </w:pPr>
      <w:r w:rsidRPr="00EE3154">
        <w:rPr>
          <w:rFonts w:ascii="標楷體" w:eastAsia="標楷體" w:hAnsi="標楷體" w:hint="eastAsia"/>
        </w:rPr>
        <w:t>一、統計範圍及對象：凡符合規定申請來</w:t>
      </w:r>
      <w:proofErr w:type="gramStart"/>
      <w:r w:rsidRPr="00EE3154">
        <w:rPr>
          <w:rFonts w:ascii="標楷體" w:eastAsia="標楷體" w:hAnsi="標楷體" w:hint="eastAsia"/>
        </w:rPr>
        <w:t>臺</w:t>
      </w:r>
      <w:proofErr w:type="gramEnd"/>
      <w:r w:rsidRPr="00EE3154">
        <w:rPr>
          <w:rFonts w:ascii="標楷體" w:eastAsia="標楷體" w:hAnsi="標楷體" w:hint="eastAsia"/>
        </w:rPr>
        <w:t>之大陸地區人民，</w:t>
      </w:r>
      <w:proofErr w:type="gramStart"/>
      <w:r w:rsidRPr="00EE3154">
        <w:rPr>
          <w:rFonts w:ascii="標楷體" w:eastAsia="標楷體" w:hAnsi="標楷體" w:hint="eastAsia"/>
        </w:rPr>
        <w:t>均為統計</w:t>
      </w:r>
      <w:proofErr w:type="gramEnd"/>
      <w:r w:rsidRPr="00EE3154">
        <w:rPr>
          <w:rFonts w:ascii="標楷體" w:eastAsia="標楷體" w:hAnsi="標楷體" w:hint="eastAsia"/>
        </w:rPr>
        <w:t>對象。</w:t>
      </w:r>
      <w:r w:rsidRPr="00EE3154">
        <w:rPr>
          <w:rFonts w:ascii="標楷體" w:eastAsia="標楷體" w:hAnsi="標楷體"/>
        </w:rPr>
        <w:t xml:space="preserve"> </w:t>
      </w:r>
    </w:p>
    <w:p w:rsidR="00EF5180" w:rsidRPr="00EE3154" w:rsidRDefault="00EF5180" w:rsidP="00EF5180">
      <w:pPr>
        <w:spacing w:line="300" w:lineRule="exact"/>
        <w:ind w:leftChars="-58" w:left="175" w:hangingChars="131" w:hanging="314"/>
        <w:jc w:val="both"/>
        <w:rPr>
          <w:rFonts w:ascii="標楷體" w:eastAsia="標楷體" w:hAnsi="標楷體" w:hint="eastAsia"/>
        </w:rPr>
      </w:pPr>
      <w:r w:rsidRPr="00EE3154">
        <w:rPr>
          <w:rFonts w:ascii="標楷體" w:eastAsia="標楷體" w:hAnsi="標楷體" w:hint="eastAsia"/>
        </w:rPr>
        <w:t>二、統計標準時間：以每月1日至月底之事實為</w:t>
      </w:r>
      <w:proofErr w:type="gramStart"/>
      <w:r w:rsidRPr="00EE3154">
        <w:rPr>
          <w:rFonts w:ascii="標楷體" w:eastAsia="標楷體" w:hAnsi="標楷體" w:hint="eastAsia"/>
        </w:rPr>
        <w:t>準</w:t>
      </w:r>
      <w:proofErr w:type="gramEnd"/>
      <w:r w:rsidRPr="00EE3154">
        <w:rPr>
          <w:rFonts w:ascii="標楷體" w:eastAsia="標楷體" w:hAnsi="標楷體" w:hint="eastAsia"/>
        </w:rPr>
        <w:t>。</w:t>
      </w:r>
    </w:p>
    <w:p w:rsidR="00EF5180" w:rsidRPr="00EE3154" w:rsidRDefault="00EF5180" w:rsidP="00EF5180">
      <w:pPr>
        <w:spacing w:line="300" w:lineRule="exact"/>
        <w:ind w:leftChars="-58" w:left="175" w:hangingChars="131" w:hanging="314"/>
        <w:jc w:val="both"/>
        <w:rPr>
          <w:rFonts w:ascii="標楷體" w:eastAsia="標楷體" w:hAnsi="標楷體" w:hint="eastAsia"/>
        </w:rPr>
      </w:pPr>
      <w:r w:rsidRPr="00EE3154">
        <w:rPr>
          <w:rFonts w:ascii="標楷體" w:eastAsia="標楷體" w:hAnsi="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「事由區分」分；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「申請、許可、不准、出境、入境」及「性別」</w:t>
      </w:r>
      <w:r w:rsidRPr="00EE3154">
        <w:rPr>
          <w:rFonts w:eastAsia="標楷體" w:hint="eastAsia"/>
        </w:rPr>
        <w:t>分。</w:t>
      </w:r>
    </w:p>
    <w:p w:rsidR="00EF5180" w:rsidRPr="00EE3154" w:rsidRDefault="00EF5180" w:rsidP="00EF5180">
      <w:pPr>
        <w:spacing w:line="300" w:lineRule="exact"/>
        <w:ind w:leftChars="-58" w:left="175" w:hangingChars="131" w:hanging="314"/>
        <w:jc w:val="both"/>
        <w:rPr>
          <w:rFonts w:ascii="標楷體" w:eastAsia="標楷體" w:hAnsi="標楷體" w:hint="eastAsia"/>
        </w:rPr>
      </w:pPr>
      <w:r w:rsidRPr="00EE3154">
        <w:rPr>
          <w:rFonts w:ascii="標楷體" w:eastAsia="標楷體" w:hAnsi="標楷體" w:hint="eastAsia"/>
        </w:rPr>
        <w:t>四、統計項目定義：</w:t>
      </w:r>
    </w:p>
    <w:p w:rsidR="00EF5180" w:rsidRPr="00EE3154" w:rsidRDefault="00EF5180" w:rsidP="00EF5180">
      <w:pPr>
        <w:spacing w:line="300" w:lineRule="exact"/>
        <w:ind w:leftChars="42" w:left="175" w:hangingChars="31" w:hanging="74"/>
        <w:jc w:val="both"/>
        <w:rPr>
          <w:rFonts w:ascii="標楷體" w:eastAsia="標楷體" w:hAnsi="標楷體" w:hint="eastAsia"/>
        </w:rPr>
      </w:pPr>
      <w:r w:rsidRPr="00EE3154">
        <w:rPr>
          <w:rFonts w:ascii="標楷體" w:eastAsia="標楷體" w:hAnsi="標楷體" w:hint="eastAsia"/>
        </w:rPr>
        <w:t>（一）大陸地區人民：指在大陸地區設有戶籍之人民。</w:t>
      </w:r>
    </w:p>
    <w:p w:rsidR="00EF5180" w:rsidRPr="00EE3154" w:rsidRDefault="00EF5180" w:rsidP="00EF5180">
      <w:pPr>
        <w:spacing w:line="300" w:lineRule="exact"/>
        <w:ind w:leftChars="42" w:left="175" w:hangingChars="31" w:hanging="74"/>
        <w:jc w:val="both"/>
        <w:rPr>
          <w:rFonts w:ascii="標楷體" w:eastAsia="標楷體" w:hAnsi="標楷體" w:hint="eastAsia"/>
        </w:rPr>
      </w:pPr>
      <w:r w:rsidRPr="00EE3154">
        <w:rPr>
          <w:rFonts w:ascii="標楷體" w:eastAsia="標楷體" w:hAnsi="標楷體" w:hint="eastAsia"/>
        </w:rPr>
        <w:t>（二）申請數：指受理申請大陸地區人民進入臺灣地區人數。</w:t>
      </w:r>
    </w:p>
    <w:p w:rsidR="00EF5180" w:rsidRPr="00EE3154" w:rsidRDefault="00EF5180" w:rsidP="00EF5180">
      <w:pPr>
        <w:spacing w:line="300" w:lineRule="exact"/>
        <w:ind w:leftChars="42" w:left="175" w:hangingChars="31" w:hanging="74"/>
        <w:jc w:val="both"/>
        <w:rPr>
          <w:rFonts w:ascii="標楷體" w:eastAsia="標楷體" w:hAnsi="標楷體" w:hint="eastAsia"/>
        </w:rPr>
      </w:pPr>
      <w:r w:rsidRPr="00EE3154">
        <w:rPr>
          <w:rFonts w:ascii="標楷體" w:eastAsia="標楷體" w:hAnsi="標楷體" w:hint="eastAsia"/>
        </w:rPr>
        <w:t>（三）許可數：指申請核准案件之人數。</w:t>
      </w:r>
    </w:p>
    <w:p w:rsidR="00EF5180" w:rsidRPr="00EE3154" w:rsidRDefault="00EF5180" w:rsidP="00EF5180">
      <w:pPr>
        <w:spacing w:line="300" w:lineRule="exact"/>
        <w:ind w:leftChars="42" w:left="175" w:hangingChars="31" w:hanging="74"/>
        <w:jc w:val="both"/>
        <w:rPr>
          <w:rFonts w:ascii="標楷體" w:eastAsia="標楷體" w:hAnsi="標楷體" w:hint="eastAsia"/>
        </w:rPr>
      </w:pPr>
      <w:r w:rsidRPr="00EE3154">
        <w:rPr>
          <w:rFonts w:ascii="標楷體" w:eastAsia="標楷體" w:hAnsi="標楷體" w:hint="eastAsia"/>
        </w:rPr>
        <w:t>（四）不准數：指申請不准案件之人數。</w:t>
      </w:r>
    </w:p>
    <w:p w:rsidR="00EF5180" w:rsidRPr="00EE3154" w:rsidRDefault="00EF5180" w:rsidP="00EF5180">
      <w:pPr>
        <w:spacing w:line="300" w:lineRule="exact"/>
        <w:ind w:leftChars="42" w:left="175" w:hangingChars="31" w:hanging="74"/>
        <w:jc w:val="both"/>
        <w:rPr>
          <w:rFonts w:ascii="標楷體" w:eastAsia="標楷體" w:hAnsi="標楷體" w:hint="eastAsia"/>
        </w:rPr>
      </w:pPr>
      <w:r w:rsidRPr="00EE3154">
        <w:rPr>
          <w:rFonts w:ascii="標楷體" w:eastAsia="標楷體" w:hAnsi="標楷體" w:hint="eastAsia"/>
        </w:rPr>
        <w:t>（五）出境數：指由臺灣地區出境之人數。</w:t>
      </w:r>
    </w:p>
    <w:p w:rsidR="00EF5180" w:rsidRPr="00EE3154" w:rsidRDefault="00EF5180" w:rsidP="00EF5180">
      <w:pPr>
        <w:spacing w:line="300" w:lineRule="exact"/>
        <w:ind w:leftChars="42" w:left="175" w:hangingChars="31" w:hanging="74"/>
        <w:jc w:val="both"/>
        <w:rPr>
          <w:rFonts w:ascii="標楷體" w:eastAsia="標楷體" w:hAnsi="標楷體" w:hint="eastAsia"/>
        </w:rPr>
      </w:pPr>
      <w:r w:rsidRPr="00EE3154">
        <w:rPr>
          <w:rFonts w:ascii="標楷體" w:eastAsia="標楷體" w:hAnsi="標楷體" w:hint="eastAsia"/>
        </w:rPr>
        <w:t>（六）入境數：指入境臺灣地區之人數。</w:t>
      </w:r>
    </w:p>
    <w:p w:rsidR="00EF5180" w:rsidRPr="00EE3154" w:rsidRDefault="00EF5180" w:rsidP="00EF5180">
      <w:pPr>
        <w:spacing w:line="300" w:lineRule="exact"/>
        <w:ind w:leftChars="42" w:left="175" w:hangingChars="31" w:hanging="74"/>
        <w:jc w:val="both"/>
        <w:rPr>
          <w:rFonts w:ascii="標楷體" w:eastAsia="標楷體" w:hAnsi="標楷體" w:hint="eastAsia"/>
        </w:rPr>
      </w:pPr>
      <w:r w:rsidRPr="00EE3154">
        <w:rPr>
          <w:rFonts w:ascii="標楷體" w:eastAsia="標楷體" w:hAnsi="標楷體" w:hint="eastAsia"/>
        </w:rPr>
        <w:t>（七）觀光類別：</w:t>
      </w:r>
    </w:p>
    <w:p w:rsidR="00EF5180" w:rsidRPr="00EE3154" w:rsidRDefault="00EF5180" w:rsidP="00EF5180">
      <w:pPr>
        <w:spacing w:line="300" w:lineRule="exact"/>
        <w:ind w:leftChars="-58" w:left="1013" w:hangingChars="480" w:hanging="1152"/>
        <w:jc w:val="both"/>
        <w:rPr>
          <w:rFonts w:ascii="標楷體" w:eastAsia="標楷體" w:hAnsi="標楷體" w:hint="eastAsia"/>
        </w:rPr>
      </w:pPr>
      <w:r w:rsidRPr="00EE3154">
        <w:rPr>
          <w:rFonts w:ascii="標楷體" w:eastAsia="標楷體" w:hAnsi="標楷體" w:hint="eastAsia"/>
        </w:rPr>
        <w:t xml:space="preserve">        1.個人旅遊：大陸地區人民設籍於主管機關公告指定之區域，符合下列情形之</w:t>
      </w:r>
      <w:proofErr w:type="gramStart"/>
      <w:r w:rsidRPr="00EE3154">
        <w:rPr>
          <w:rFonts w:ascii="標楷體" w:eastAsia="標楷體" w:hAnsi="標楷體" w:hint="eastAsia"/>
        </w:rPr>
        <w:t>一</w:t>
      </w:r>
      <w:proofErr w:type="gramEnd"/>
      <w:r w:rsidRPr="00EE3154">
        <w:rPr>
          <w:rFonts w:ascii="標楷體" w:eastAsia="標楷體" w:hAnsi="標楷體" w:hint="eastAsia"/>
        </w:rPr>
        <w:t>者，得申請許可來</w:t>
      </w:r>
      <w:proofErr w:type="gramStart"/>
      <w:r w:rsidRPr="00EE3154">
        <w:rPr>
          <w:rFonts w:ascii="標楷體" w:eastAsia="標楷體" w:hAnsi="標楷體" w:hint="eastAsia"/>
        </w:rPr>
        <w:t>臺</w:t>
      </w:r>
      <w:proofErr w:type="gramEnd"/>
      <w:r w:rsidRPr="00EE3154">
        <w:rPr>
          <w:rFonts w:ascii="標楷體" w:eastAsia="標楷體" w:hAnsi="標楷體" w:hint="eastAsia"/>
        </w:rPr>
        <w:t>從事個人旅遊觀光活動：（1）年滿二十歲，且有相當新臺幣二十萬元以上存款或持有銀行核發金卡或年工資所得相當新臺幣五十萬元以上。其直系血親及配偶得隨同申請。（2）年滿十八歲以上在學學生。</w:t>
      </w:r>
    </w:p>
    <w:p w:rsidR="00EF5180" w:rsidRPr="00EE3154" w:rsidRDefault="00EF5180" w:rsidP="00EF5180">
      <w:pPr>
        <w:spacing w:line="300" w:lineRule="exact"/>
        <w:ind w:leftChars="342" w:left="1061" w:hangingChars="100" w:hanging="240"/>
        <w:jc w:val="both"/>
        <w:rPr>
          <w:rFonts w:ascii="標楷體" w:eastAsia="標楷體" w:hAnsi="標楷體" w:hint="eastAsia"/>
        </w:rPr>
      </w:pPr>
      <w:r w:rsidRPr="00EE3154">
        <w:rPr>
          <w:rFonts w:ascii="標楷體" w:eastAsia="標楷體" w:hAnsi="標楷體" w:hint="eastAsia"/>
        </w:rPr>
        <w:t>2.第一類：大陸地區人民符合以下其中一項資格者（大陸地區人民來</w:t>
      </w:r>
      <w:proofErr w:type="gramStart"/>
      <w:r w:rsidRPr="00EE3154">
        <w:rPr>
          <w:rFonts w:ascii="標楷體" w:eastAsia="標楷體" w:hAnsi="標楷體" w:hint="eastAsia"/>
        </w:rPr>
        <w:t>臺</w:t>
      </w:r>
      <w:proofErr w:type="gramEnd"/>
      <w:r w:rsidRPr="00EE3154">
        <w:rPr>
          <w:rFonts w:ascii="標楷體" w:eastAsia="標楷體" w:hAnsi="標楷體" w:hint="eastAsia"/>
        </w:rPr>
        <w:t>從事觀光活動許可辦法第3條第1、2、5款），得申請來</w:t>
      </w:r>
      <w:proofErr w:type="gramStart"/>
      <w:r w:rsidRPr="00EE3154">
        <w:rPr>
          <w:rFonts w:ascii="標楷體" w:eastAsia="標楷體" w:hAnsi="標楷體" w:hint="eastAsia"/>
        </w:rPr>
        <w:t>臺</w:t>
      </w:r>
      <w:proofErr w:type="gramEnd"/>
      <w:r w:rsidRPr="00EE3154">
        <w:rPr>
          <w:rFonts w:ascii="標楷體" w:eastAsia="標楷體" w:hAnsi="標楷體" w:hint="eastAsia"/>
        </w:rPr>
        <w:t>觀光：（1）有固定正當職業者或學生。（2）有等值新臺幣20萬元以上之存款，並備有大陸地區金融機構出具之證明者。（3）其他經大陸地區機關出具之證明文件（如大陸居民往來臺灣通行證）。</w:t>
      </w:r>
      <w:smartTag w:uri="urn:schemas-microsoft-com:office:smarttags" w:element="chsdate">
        <w:smartTagPr>
          <w:attr w:name="Year" w:val="1997"/>
          <w:attr w:name="Month" w:val="7"/>
          <w:attr w:name="Day" w:val="4"/>
          <w:attr w:name="IsLunarDate" w:val="False"/>
          <w:attr w:name="IsROCDate" w:val="False"/>
        </w:smartTagPr>
        <w:r w:rsidRPr="00EE3154">
          <w:rPr>
            <w:rFonts w:ascii="標楷體" w:eastAsia="標楷體" w:hAnsi="標楷體" w:hint="eastAsia"/>
          </w:rPr>
          <w:t>97年7月4日</w:t>
        </w:r>
      </w:smartTag>
      <w:r w:rsidRPr="00EE3154">
        <w:rPr>
          <w:rFonts w:ascii="標楷體" w:eastAsia="標楷體" w:hAnsi="標楷體" w:hint="eastAsia"/>
        </w:rPr>
        <w:t>直航包機來</w:t>
      </w:r>
      <w:proofErr w:type="gramStart"/>
      <w:r w:rsidRPr="00EE3154">
        <w:rPr>
          <w:rFonts w:ascii="標楷體" w:eastAsia="標楷體" w:hAnsi="標楷體" w:hint="eastAsia"/>
        </w:rPr>
        <w:t>臺</w:t>
      </w:r>
      <w:proofErr w:type="gramEnd"/>
      <w:r w:rsidRPr="00EE3154">
        <w:rPr>
          <w:rFonts w:ascii="標楷體" w:eastAsia="標楷體" w:hAnsi="標楷體" w:hint="eastAsia"/>
        </w:rPr>
        <w:t>觀光首</w:t>
      </w:r>
      <w:proofErr w:type="gramStart"/>
      <w:r w:rsidRPr="00EE3154">
        <w:rPr>
          <w:rFonts w:ascii="標楷體" w:eastAsia="標楷體" w:hAnsi="標楷體" w:hint="eastAsia"/>
        </w:rPr>
        <w:t>發團抵臺</w:t>
      </w:r>
      <w:proofErr w:type="gramEnd"/>
      <w:r w:rsidRPr="00EE3154">
        <w:rPr>
          <w:rFonts w:ascii="標楷體" w:eastAsia="標楷體" w:hAnsi="標楷體" w:hint="eastAsia"/>
        </w:rPr>
        <w:t>後正式實施。</w:t>
      </w:r>
    </w:p>
    <w:p w:rsidR="00EF5180" w:rsidRPr="00EE3154" w:rsidRDefault="00EF5180" w:rsidP="00EF5180">
      <w:pPr>
        <w:spacing w:line="300" w:lineRule="exact"/>
        <w:ind w:leftChars="342" w:left="1061" w:hangingChars="100" w:hanging="240"/>
        <w:jc w:val="both"/>
        <w:rPr>
          <w:rFonts w:ascii="標楷體" w:eastAsia="標楷體" w:hAnsi="標楷體" w:hint="eastAsia"/>
        </w:rPr>
      </w:pPr>
      <w:r w:rsidRPr="00EE3154">
        <w:rPr>
          <w:rFonts w:ascii="標楷體" w:eastAsia="標楷體" w:hAnsi="標楷體" w:hint="eastAsia"/>
        </w:rPr>
        <w:t>3.第二類：91年起開放大陸地區人民由大陸地區經第三地中轉來</w:t>
      </w:r>
      <w:proofErr w:type="gramStart"/>
      <w:r w:rsidRPr="00EE3154">
        <w:rPr>
          <w:rFonts w:ascii="標楷體" w:eastAsia="標楷體" w:hAnsi="標楷體" w:hint="eastAsia"/>
        </w:rPr>
        <w:t>臺</w:t>
      </w:r>
      <w:proofErr w:type="gramEnd"/>
      <w:r w:rsidRPr="00EE3154">
        <w:rPr>
          <w:rFonts w:ascii="標楷體" w:eastAsia="標楷體" w:hAnsi="標楷體" w:hint="eastAsia"/>
        </w:rPr>
        <w:t>從事觀光活動，97年修正「大陸地區人民來</w:t>
      </w:r>
      <w:proofErr w:type="gramStart"/>
      <w:r w:rsidRPr="00EE3154">
        <w:rPr>
          <w:rFonts w:ascii="標楷體" w:eastAsia="標楷體" w:hAnsi="標楷體" w:hint="eastAsia"/>
        </w:rPr>
        <w:t>臺</w:t>
      </w:r>
      <w:proofErr w:type="gramEnd"/>
      <w:r w:rsidRPr="00EE3154">
        <w:rPr>
          <w:rFonts w:ascii="標楷體" w:eastAsia="標楷體" w:hAnsi="標楷體" w:hint="eastAsia"/>
        </w:rPr>
        <w:t>從事觀光活動許可辦法」，最後一團於</w:t>
      </w:r>
      <w:smartTag w:uri="urn:schemas-microsoft-com:office:smarttags" w:element="chsdate">
        <w:smartTagPr>
          <w:attr w:name="Year" w:val="1997"/>
          <w:attr w:name="Month" w:val="7"/>
          <w:attr w:name="Day" w:val="17"/>
          <w:attr w:name="IsLunarDate" w:val="False"/>
          <w:attr w:name="IsROCDate" w:val="False"/>
        </w:smartTagPr>
        <w:r w:rsidRPr="00EE3154">
          <w:rPr>
            <w:rFonts w:ascii="標楷體" w:eastAsia="標楷體" w:hAnsi="標楷體" w:hint="eastAsia"/>
          </w:rPr>
          <w:t>97年7月17日</w:t>
        </w:r>
      </w:smartTag>
      <w:r w:rsidRPr="00EE3154">
        <w:rPr>
          <w:rFonts w:ascii="標楷體" w:eastAsia="標楷體" w:hAnsi="標楷體" w:hint="eastAsia"/>
        </w:rPr>
        <w:t>入境後正式走入歷史，取消該類來</w:t>
      </w:r>
      <w:proofErr w:type="gramStart"/>
      <w:r w:rsidRPr="00EE3154">
        <w:rPr>
          <w:rFonts w:ascii="標楷體" w:eastAsia="標楷體" w:hAnsi="標楷體" w:hint="eastAsia"/>
        </w:rPr>
        <w:t>臺</w:t>
      </w:r>
      <w:proofErr w:type="gramEnd"/>
      <w:r w:rsidRPr="00EE3154">
        <w:rPr>
          <w:rFonts w:ascii="標楷體" w:eastAsia="標楷體" w:hAnsi="標楷體" w:hint="eastAsia"/>
        </w:rPr>
        <w:t>觀光政策。</w:t>
      </w:r>
    </w:p>
    <w:p w:rsidR="00EF5180" w:rsidRPr="00EE3154" w:rsidRDefault="00EF5180" w:rsidP="00EF5180">
      <w:pPr>
        <w:spacing w:line="300" w:lineRule="exact"/>
        <w:ind w:leftChars="342" w:left="1061" w:hangingChars="100" w:hanging="240"/>
        <w:jc w:val="both"/>
        <w:rPr>
          <w:rFonts w:ascii="標楷體" w:eastAsia="標楷體" w:hAnsi="標楷體" w:hint="eastAsia"/>
        </w:rPr>
      </w:pPr>
      <w:r w:rsidRPr="00EE3154">
        <w:rPr>
          <w:rFonts w:ascii="標楷體" w:eastAsia="標楷體" w:hAnsi="標楷體" w:hint="eastAsia"/>
        </w:rPr>
        <w:t>4.第三類：91年起開放旅居或留學海外，及旅居或留學港澳之大陸人士，亦即符合「大陸地區人民來</w:t>
      </w:r>
      <w:proofErr w:type="gramStart"/>
      <w:r w:rsidRPr="00EE3154">
        <w:rPr>
          <w:rFonts w:ascii="標楷體" w:eastAsia="標楷體" w:hAnsi="標楷體" w:hint="eastAsia"/>
        </w:rPr>
        <w:t>臺</w:t>
      </w:r>
      <w:proofErr w:type="gramEnd"/>
      <w:r w:rsidRPr="00EE3154">
        <w:rPr>
          <w:rFonts w:ascii="標楷體" w:eastAsia="標楷體" w:hAnsi="標楷體" w:hint="eastAsia"/>
        </w:rPr>
        <w:t>從事觀光活動許可辦法」第3條第3、4款資格者，得申請來</w:t>
      </w:r>
      <w:proofErr w:type="gramStart"/>
      <w:r w:rsidRPr="00EE3154">
        <w:rPr>
          <w:rFonts w:ascii="標楷體" w:eastAsia="標楷體" w:hAnsi="標楷體" w:hint="eastAsia"/>
        </w:rPr>
        <w:t>臺</w:t>
      </w:r>
      <w:proofErr w:type="gramEnd"/>
      <w:r w:rsidRPr="00EE3154">
        <w:rPr>
          <w:rFonts w:ascii="標楷體" w:eastAsia="標楷體" w:hAnsi="標楷體" w:hint="eastAsia"/>
        </w:rPr>
        <w:t>觀光。</w:t>
      </w:r>
    </w:p>
    <w:p w:rsidR="00EF5180" w:rsidRPr="00EE3154" w:rsidRDefault="00EF5180" w:rsidP="00EF5180">
      <w:pPr>
        <w:spacing w:line="300" w:lineRule="exact"/>
        <w:ind w:leftChars="42" w:left="775" w:hangingChars="281" w:hanging="674"/>
        <w:jc w:val="both"/>
        <w:rPr>
          <w:rFonts w:ascii="標楷體" w:eastAsia="標楷體" w:hAnsi="標楷體" w:hint="eastAsia"/>
        </w:rPr>
      </w:pPr>
      <w:r w:rsidRPr="00EE3154">
        <w:rPr>
          <w:rFonts w:ascii="標楷體" w:eastAsia="標楷體" w:hAnsi="標楷體" w:hint="eastAsia"/>
        </w:rPr>
        <w:t>（八）小三通(往來金、馬、</w:t>
      </w:r>
      <w:proofErr w:type="gramStart"/>
      <w:r w:rsidRPr="00EE3154">
        <w:rPr>
          <w:rFonts w:ascii="標楷體" w:eastAsia="標楷體" w:hAnsi="標楷體" w:hint="eastAsia"/>
        </w:rPr>
        <w:t>澎</w:t>
      </w:r>
      <w:proofErr w:type="gramEnd"/>
      <w:r w:rsidRPr="00EE3154">
        <w:rPr>
          <w:rFonts w:ascii="標楷體" w:eastAsia="標楷體" w:hAnsi="標楷體" w:hint="eastAsia"/>
        </w:rPr>
        <w:t>)：經交通部觀光局許可，在金門、馬祖或澎湖營業之綜合或甲種旅行社代申請之大陸地區人民，得申請許可入出金門、馬祖或澎湖旅行。</w:t>
      </w:r>
    </w:p>
    <w:p w:rsidR="00EF5180" w:rsidRPr="00EE3154" w:rsidRDefault="00EF5180" w:rsidP="00EF5180">
      <w:pPr>
        <w:spacing w:line="300" w:lineRule="exact"/>
        <w:ind w:leftChars="-58" w:left="413" w:hangingChars="230" w:hanging="552"/>
        <w:jc w:val="both"/>
        <w:rPr>
          <w:rFonts w:ascii="標楷體" w:eastAsia="標楷體" w:hAnsi="標楷體" w:hint="eastAsia"/>
        </w:rPr>
      </w:pPr>
      <w:r w:rsidRPr="00EE3154">
        <w:rPr>
          <w:rFonts w:ascii="標楷體" w:eastAsia="標楷體" w:hAnsi="標楷體" w:hint="eastAsia"/>
        </w:rPr>
        <w:t>五、資料蒐集方法及編製程序：</w:t>
      </w:r>
      <w:proofErr w:type="gramStart"/>
      <w:r w:rsidRPr="00EE3154">
        <w:rPr>
          <w:rFonts w:eastAsia="標楷體" w:hint="eastAsia"/>
        </w:rPr>
        <w:t>由本署入</w:t>
      </w:r>
      <w:proofErr w:type="gramEnd"/>
      <w:r w:rsidRPr="00EE3154">
        <w:rPr>
          <w:rFonts w:eastAsia="標楷體" w:hint="eastAsia"/>
        </w:rPr>
        <w:t>出國事務組依據各直轄市、縣</w:t>
      </w:r>
      <w:r w:rsidRPr="00EE3154">
        <w:rPr>
          <w:rFonts w:eastAsia="標楷體" w:hint="eastAsia"/>
        </w:rPr>
        <w:t>(</w:t>
      </w:r>
      <w:r w:rsidRPr="00EE3154">
        <w:rPr>
          <w:rFonts w:eastAsia="標楷體" w:hint="eastAsia"/>
        </w:rPr>
        <w:t>市</w:t>
      </w:r>
      <w:r w:rsidRPr="00EE3154">
        <w:rPr>
          <w:rFonts w:eastAsia="標楷體" w:hint="eastAsia"/>
        </w:rPr>
        <w:t>)</w:t>
      </w:r>
      <w:r w:rsidRPr="00EE3154">
        <w:rPr>
          <w:rFonts w:eastAsia="標楷體" w:hint="eastAsia"/>
        </w:rPr>
        <w:t>服務站登錄之每日受理入出境申請案件資料彙編。</w:t>
      </w:r>
      <w:r w:rsidRPr="00EE3154">
        <w:rPr>
          <w:rFonts w:ascii="標楷體" w:eastAsia="標楷體" w:hAnsi="標楷體" w:hint="eastAsia"/>
        </w:rPr>
        <w:t xml:space="preserve"> </w:t>
      </w:r>
    </w:p>
    <w:p w:rsidR="00EF5180" w:rsidRPr="00EE3154" w:rsidRDefault="00EF5180" w:rsidP="00EF5180">
      <w:pPr>
        <w:spacing w:line="300" w:lineRule="exact"/>
        <w:ind w:leftChars="-58" w:left="175" w:hangingChars="131" w:hanging="314"/>
        <w:jc w:val="both"/>
        <w:rPr>
          <w:rFonts w:hint="eastAsia"/>
        </w:rPr>
      </w:pPr>
      <w:r w:rsidRPr="00EE3154">
        <w:rPr>
          <w:rFonts w:ascii="標楷體" w:eastAsia="標楷體" w:hAnsi="標楷體" w:hint="eastAsia"/>
        </w:rPr>
        <w:t>六、編送對象：</w:t>
      </w:r>
      <w:proofErr w:type="gramStart"/>
      <w:r w:rsidRPr="00EE3154">
        <w:rPr>
          <w:rFonts w:ascii="標楷體" w:eastAsia="標楷體" w:hAnsi="標楷體" w:hint="eastAsia"/>
        </w:rPr>
        <w:t>本表編製</w:t>
      </w:r>
      <w:proofErr w:type="gramEnd"/>
      <w:r w:rsidRPr="00EE3154">
        <w:rPr>
          <w:rFonts w:ascii="標楷體" w:eastAsia="標楷體" w:hAnsi="標楷體" w:hint="eastAsia"/>
        </w:rPr>
        <w:t>1式2份，經機關首長核章後，1份自存，1份</w:t>
      </w:r>
      <w:proofErr w:type="gramStart"/>
      <w:r w:rsidRPr="00EE3154">
        <w:rPr>
          <w:rFonts w:ascii="標楷體" w:eastAsia="標楷體" w:hAnsi="標楷體" w:hint="eastAsia"/>
        </w:rPr>
        <w:t>送本署主計</w:t>
      </w:r>
      <w:proofErr w:type="gramEnd"/>
      <w:r w:rsidRPr="00EE3154">
        <w:rPr>
          <w:rFonts w:ascii="標楷體" w:eastAsia="標楷體" w:hAnsi="標楷體" w:hint="eastAsia"/>
        </w:rPr>
        <w:t>室外，應由網際網路上傳至內政部統計處資料庫。</w:t>
      </w:r>
      <w:r w:rsidRPr="00EE3154">
        <w:rPr>
          <w:rFonts w:hint="eastAsia"/>
        </w:rPr>
        <w:t xml:space="preserve"> </w:t>
      </w:r>
    </w:p>
    <w:p w:rsidR="006C1A60" w:rsidRPr="00EF5180" w:rsidRDefault="006C1A60"/>
    <w:sectPr w:rsidR="006C1A60" w:rsidRPr="00EF5180" w:rsidSect="00EF5180">
      <w:footerReference w:type="default" r:id="rId6"/>
      <w:pgSz w:w="16838" w:h="11906" w:orient="landscape"/>
      <w:pgMar w:top="1800" w:right="1440" w:bottom="851"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134" w:rsidRDefault="00AF4134" w:rsidP="00EF5180">
      <w:r>
        <w:separator/>
      </w:r>
    </w:p>
  </w:endnote>
  <w:endnote w:type="continuationSeparator" w:id="0">
    <w:p w:rsidR="00AF4134" w:rsidRDefault="00AF4134" w:rsidP="00EF51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145"/>
      <w:docPartObj>
        <w:docPartGallery w:val="Page Numbers (Bottom of Page)"/>
        <w:docPartUnique/>
      </w:docPartObj>
    </w:sdtPr>
    <w:sdtContent>
      <w:p w:rsidR="00EF5180" w:rsidRDefault="00EF5180">
        <w:pPr>
          <w:pStyle w:val="a5"/>
          <w:jc w:val="center"/>
        </w:pPr>
        <w:r>
          <w:rPr>
            <w:rFonts w:hint="eastAsia"/>
          </w:rPr>
          <w:t>64</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134" w:rsidRDefault="00AF4134" w:rsidP="00EF5180">
      <w:r>
        <w:separator/>
      </w:r>
    </w:p>
  </w:footnote>
  <w:footnote w:type="continuationSeparator" w:id="0">
    <w:p w:rsidR="00AF4134" w:rsidRDefault="00AF4134" w:rsidP="00EF51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F5180"/>
    <w:rsid w:val="006C1A60"/>
    <w:rsid w:val="00AF4134"/>
    <w:rsid w:val="00EF51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18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F5180"/>
    <w:pPr>
      <w:tabs>
        <w:tab w:val="center" w:pos="4153"/>
        <w:tab w:val="right" w:pos="8306"/>
      </w:tabs>
      <w:snapToGrid w:val="0"/>
    </w:pPr>
    <w:rPr>
      <w:sz w:val="20"/>
      <w:szCs w:val="20"/>
    </w:rPr>
  </w:style>
  <w:style w:type="character" w:customStyle="1" w:styleId="a4">
    <w:name w:val="頁首 字元"/>
    <w:basedOn w:val="a0"/>
    <w:link w:val="a3"/>
    <w:uiPriority w:val="99"/>
    <w:semiHidden/>
    <w:rsid w:val="00EF5180"/>
    <w:rPr>
      <w:rFonts w:ascii="Times New Roman" w:eastAsia="新細明體" w:hAnsi="Times New Roman" w:cs="Times New Roman"/>
      <w:sz w:val="20"/>
      <w:szCs w:val="20"/>
    </w:rPr>
  </w:style>
  <w:style w:type="paragraph" w:styleId="a5">
    <w:name w:val="footer"/>
    <w:basedOn w:val="a"/>
    <w:link w:val="a6"/>
    <w:uiPriority w:val="99"/>
    <w:unhideWhenUsed/>
    <w:rsid w:val="00EF5180"/>
    <w:pPr>
      <w:tabs>
        <w:tab w:val="center" w:pos="4153"/>
        <w:tab w:val="right" w:pos="8306"/>
      </w:tabs>
      <w:snapToGrid w:val="0"/>
    </w:pPr>
    <w:rPr>
      <w:sz w:val="20"/>
      <w:szCs w:val="20"/>
    </w:rPr>
  </w:style>
  <w:style w:type="character" w:customStyle="1" w:styleId="a6">
    <w:name w:val="頁尾 字元"/>
    <w:basedOn w:val="a0"/>
    <w:link w:val="a5"/>
    <w:uiPriority w:val="99"/>
    <w:rsid w:val="00EF5180"/>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2016-03-16T04:59:00Z</dcterms:created>
  <dcterms:modified xsi:type="dcterms:W3CDTF">2016-03-16T05:00:00Z</dcterms:modified>
</cp:coreProperties>
</file>